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EA" w:rsidRPr="004E1E04" w:rsidRDefault="008E1246" w:rsidP="004F7503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О трудовых отношениях в платформенной экономике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highlight w:val="white"/>
        </w:rPr>
        <w:t>Принцип работы онлайн-платформы построен на взаимодействии трёх субъектов: заказчика, который нуждается в услуге; исполнителя, который может и готов эту услугу предоставить; владельца платформы, статус которого наиболее близок к статусу работодателя, поскольку он даёт исполнителю возможность получить заказ и контролирует его исполнение, а в ряде случаев ещё и обеспечивает исполнителя средствами, необходимыми для работы от лица платформы.  Сама же платформа используется как связующее звено — удобное виртуальное пространство и электронный аналог офиса, куда можно прийти и заключить сделку. Отношения между исполнителем, предоставляющим услуги от лица платформы, и её владельцем, как правило, оформляются не трудовым, а гражданско-правовым договором. 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highlight w:val="white"/>
        </w:rPr>
        <w:t>На сегодняшний день в российском трудовом законодательстве отсутствуют нормы, раскрывающие понятие</w:t>
      </w:r>
      <w:bookmarkStart w:id="0" w:name="_GoBack"/>
      <w:r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highlight w:val="white"/>
        </w:rPr>
        <w:t xml:space="preserve"> платформенной занятости и регулирующие эту сферу</w:t>
      </w:r>
      <w:bookmarkEnd w:id="0"/>
      <w:r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highlight w:val="white"/>
        </w:rPr>
        <w:t>, поэтому платформы стремятся привлекать сотрудников-исполнителей к работе на основании договоров гражданско-правового характера. Вследствие чего, гарантии, предусмотренные ТК РФ, на них не распространяются. И это отнюдь не только самозанятые или ИПешники.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Подобная сфера отношений касается не только такси и курьерских служб, по подобным моделям могут работать и репетиторы, ИТ-специалисты, всякие коучи и пр.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В соответствии с Переченем поручений по итогам заседания Госсовета, который утверждён Президентом РФ 29.01.2023 (№Пр-173ГС) Правительству РФ поручено обеспечить внесение в Долгосрочную программу содействия занятости молодежи на период до 2030 года и в иные нормативные правовые акты в сфере занятости молодежи изменения, направленные в т.ч. на правовое регулирование новых форм занятости, в частности и платформенную занятость.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 xml:space="preserve">Была попытка ввести в законодательство понятие «платформенная занятость», но на стадии принятия закона (№565-ФЗ) эта норма оттуда исчезла. </w:t>
      </w:r>
    </w:p>
    <w:p w:rsidR="00D641EA" w:rsidRPr="004E1E04" w:rsidRDefault="008E1246" w:rsidP="004F75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Сейчас в Думе ведётся работа над отдельным законопроектом. Парламентарии обещали внести его в первом квартале, но  пока не состоялось. Законопроект пока проходит стадии согласования в министерствах и ведомствах.</w:t>
      </w: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Людей, считающихся платформенно занятыми, сегодня в России насчитывается около 7 миллионов. По мнению парламентариев ожидается, что к концу 2025 года их численность может вырасти до 10 миллионов. Предполагается, что будут закреплены определённые гарантии для платформенно занятых, их возможность участвовать в системе обязательного пенсионного и социального страхования.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Мы пока не посвящены в детали названного законопроекта, но СПР полагает, что закон о трудовых отношениях в платформенной экономике должен отражать разные варианты трудовых отношений.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Такие трудовые отношения можно разделить на 3 составляющих вида: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1.Трудовые отношения, связанные с платформенной логистикой. Т.е. работники складов. Например, на головном складе Вайлдберриз в Подольске из 9 тыс. сотрудников только 10% работают по трудовым договорам, остальные работают по договорам гражданско-правового характера (ГПХ) через публичную оферту.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Наш профсоюз РПРиУ-СПР уже сформировал типовые иски для сотрудников с целью преобразования договоров ГПХ в трудовые договора (ТД), выиграно в Подольском горсуде МО (по месту регистрации ООО «Вайлдберриз») более 70 исков, ещё подготовлено порядка 200 исков.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Следует отметить, что перевод из ГПХ в ТД является самостоятельным основанием трудовых отношений, регламентированным ст. 19.1 ТК РФ. Суть которой в том, что трудовые отношения по решению суда устанавливаются не с момента вынесения решения суда, а со дня начала сотрудничества по ГПХ.</w:t>
      </w:r>
    </w:p>
    <w:p w:rsidR="00D641EA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 ситуации с Вайлдберриз, это 20</w:t>
      </w:r>
      <w:r w:rsid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-</w:t>
      </w: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2</w:t>
      </w:r>
      <w:r w:rsid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</w:t>
      </w: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годы. Т.е. Платформа, желая что-то сэкономить, заключая договоры ГПХ, попадает на оплату отпускных за 3, 4 года и соответственно на социальные взносы до 2023 года.</w:t>
      </w:r>
    </w:p>
    <w:p w:rsidR="004E1E04" w:rsidRDefault="004E1E04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Кроме того, </w:t>
      </w:r>
      <w:bookmarkStart w:id="1" w:name="sub_191004"/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из установленного частью 4 ст.19-1 ТК РФ: «Если отношения, связанные с использованием личного труда, возникли на основании гражданско-правового договора, но впоследствии в порядке, установленном </w:t>
      </w:r>
      <w:hyperlink w:anchor="sub_191001" w:history="1">
        <w:r w:rsidRPr="004E1E04">
          <w:rPr>
            <w:rStyle w:val="afc"/>
            <w:rFonts w:ascii="Times New Roman" w:hAnsi="Times New Roman" w:cs="Times New Roman"/>
            <w:color w:val="171717" w:themeColor="background2" w:themeShade="1A"/>
            <w:sz w:val="24"/>
            <w:szCs w:val="24"/>
          </w:rPr>
          <w:t>частями первой - третьей</w:t>
        </w:r>
      </w:hyperlink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настоящей статьи, были признаны трудовыми отношениями, такие трудовые отношения между работником и </w:t>
      </w: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>работодателем считаются возникшими со дня фактического допущения физического лица, являющегося исполнителем по указанному договору, к исполнению предусмотренных указанным договором обязанностей.», следует вывод: Предусмотренные договорами ГПХ штрафы становятся недопустимым нарушением ст.137 ТК РФ; понуждения сотрудников к бесплатной работе в качестве отработки штрафа или блокировка пропуска на время отработки штрафа – становятся незаконными лишениями возможности трудиться с оплатой соответствующего вынужденного прогула в размере 100% зарплаты за все время блокировки.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Уже есть соответствующие судебные дела и решения по ним.</w:t>
      </w:r>
    </w:p>
    <w:p w:rsidR="004E1E04" w:rsidRPr="004E1E04" w:rsidRDefault="004E1E04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Таким образом, Платформа, желая подменить трудовые договоры договорами ГПХ, не получает положительного экономического эффекта.</w:t>
      </w:r>
    </w:p>
    <w:bookmarkEnd w:id="1"/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Работа на складах предусматривает сдельную оплату условий труда. Мы полагаем, что для трудовых отношений в платформенной логистике целесообразно применение сдельной оплаты, при том, что СПР против сдельщины, как нарушающей краеугольный принцип работы по найму: работник продает нанимателю не результат своего труда, но свои квалификацию и рабочее время.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2. Трудовые отношения персонифицированного характера, связанные с оказанием услуг физическим лицам (репетиторство, няни, уход за больными и т.д.).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 этом случае платформа в чистом виде является посредником между заказчиком услуг и их исполнителем. В следствие чего, как правило, не может являться работодателем по отношению к исполнителю услуг. В свою очередь, исполнители по этому виду в большинстве являются самозанятыми.  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3. Трудовые отношения в связи с регулярным исполнением обязанностей, вытекающих из договоров между Платформой и организациями - поставщиками услуг. Например, водители такси, курьеры по доставке, уборщики квартир.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Как правило, при такой форме занятости платформа не является непосредственным посредником между заказчиком услуг и их исполнителем. В этих случаях, 3-ей стороной выступают таксопарки, ресторан, магазин, клининговая компания.</w:t>
      </w:r>
    </w:p>
    <w:p w:rsidR="00B87516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 этих случаях, мы считаем, что платформа должна обеспечивать наличие трудовых договоров между таксопарками, магазинами, ресторана</w:t>
      </w:r>
      <w:r w:rsidR="00234DD5"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ми и исполнителями этих услуг.</w:t>
      </w:r>
    </w:p>
    <w:p w:rsidR="00B87516" w:rsidRPr="004E1E04" w:rsidRDefault="00B8751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Особняком стоит также вопрос о подмене юридическими лицами (платформами) трудовых отношений договорами с самозанятыми.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СПР полагает необходимым практическое исключение таких (6 % договоров) из практики налога на профессиональный доход.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Отдельный вопрос отношений субъектов платформенной экономики с предпринимателями.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СПР наработал практику преобразования договоров ГПХ в трудовые договора в варианте с логистикой. Однако</w:t>
      </w:r>
      <w:r w:rsid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он</w:t>
      </w: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не обладает достаточным количеством специалистов для всесторонней проработки законопроекта по 2-му и 3-му видам платформенной экономики. Хотя опыт по созданию профсоюзов таксистов, музыкантов, курьеров уже имеется.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Кстати, входящий в СПР профсоюз «Таксист» ставит своей задачей установление исключительно трудовых отношений между водителями и таксопарками.</w:t>
      </w:r>
    </w:p>
    <w:p w:rsidR="00234DD5" w:rsidRPr="004E1E04" w:rsidRDefault="008E1246" w:rsidP="004F7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</w:pPr>
      <w:r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Подобная модель трудовых отношений явление новое. В этой сфере сами работники и бизнес более динамично адаптируются, нежели государство и профсоюзы. При этом работники оказываются самой незащищённой группой</w:t>
      </w:r>
      <w:r w:rsidR="00234DD5"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 xml:space="preserve"> участников в таких отношениях.</w:t>
      </w:r>
      <w:r w:rsidR="00BB3D4F"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4005F6"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А</w:t>
      </w:r>
      <w:r w:rsidR="00BB3D4F"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 xml:space="preserve"> в СПР наработан</w:t>
      </w:r>
      <w:r w:rsidR="004005F6"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а методика создания и деятельности профсоюзов, объединяющих как работников по трудовым договорам, так и трудящихся по договорам ГПХ и «самозанятых»</w:t>
      </w:r>
      <w:r w:rsidR="00BB3D4F" w:rsidRPr="004E1E04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 xml:space="preserve">  </w:t>
      </w:r>
    </w:p>
    <w:p w:rsidR="00D641EA" w:rsidRPr="004E1E04" w:rsidRDefault="008E1246" w:rsidP="004F7503">
      <w:pPr>
        <w:spacing w:after="0" w:line="240" w:lineRule="auto"/>
        <w:ind w:firstLine="567"/>
        <w:jc w:val="both"/>
        <w:rPr>
          <w:rStyle w:val="216pt"/>
          <w:rFonts w:eastAsiaTheme="minorHAnsi"/>
          <w:b w:val="0"/>
          <w:i/>
          <w:color w:val="171717" w:themeColor="background2" w:themeShade="1A"/>
          <w:sz w:val="24"/>
          <w:szCs w:val="24"/>
        </w:rPr>
      </w:pPr>
      <w:r w:rsidRPr="004E1E04">
        <w:rPr>
          <w:b/>
          <w:i/>
          <w:color w:val="171717" w:themeColor="background2" w:themeShade="1A"/>
          <w:sz w:val="24"/>
          <w:szCs w:val="24"/>
        </w:rPr>
        <w:t xml:space="preserve">В целях установления общих принципов регулирования социально-трудовых отношений и связанных с ними экономических отношений между работниками и работодателями и в соответствии со статьей 45 Трудового кодекса Российской Федерации Союз профсоюзов России предлагает пойти по проторенной дорожке, </w:t>
      </w:r>
      <w:bookmarkStart w:id="2" w:name="bookmark0"/>
      <w:r w:rsidRPr="004E1E04">
        <w:rPr>
          <w:b/>
          <w:i/>
          <w:color w:val="171717" w:themeColor="background2" w:themeShade="1A"/>
          <w:sz w:val="24"/>
          <w:szCs w:val="24"/>
        </w:rPr>
        <w:t>начать переговоры по заключению Отраслевого соглашени</w:t>
      </w:r>
      <w:bookmarkEnd w:id="2"/>
      <w:r w:rsidRPr="004E1E04">
        <w:rPr>
          <w:b/>
          <w:i/>
          <w:color w:val="171717" w:themeColor="background2" w:themeShade="1A"/>
          <w:sz w:val="24"/>
          <w:szCs w:val="24"/>
        </w:rPr>
        <w:t xml:space="preserve">я о регулировании социально-трудовых отношений в сфере платформенной экономики (электронной коммерции) и в других видах экономической деятельности, связанных с неформальной занятостью </w:t>
      </w:r>
      <w:r w:rsidRPr="004E1E04">
        <w:rPr>
          <w:rStyle w:val="216pt"/>
          <w:rFonts w:eastAsiaTheme="minorHAnsi"/>
          <w:b w:val="0"/>
          <w:i/>
          <w:color w:val="171717" w:themeColor="background2" w:themeShade="1A"/>
          <w:sz w:val="24"/>
          <w:szCs w:val="24"/>
        </w:rPr>
        <w:t xml:space="preserve">на </w:t>
      </w:r>
      <w:r w:rsidRPr="004E1E04">
        <w:rPr>
          <w:rStyle w:val="216pt"/>
          <w:rFonts w:eastAsiaTheme="minorHAnsi"/>
          <w:b w:val="0"/>
          <w:i/>
          <w:color w:val="171717" w:themeColor="background2" w:themeShade="1A"/>
          <w:sz w:val="24"/>
          <w:szCs w:val="24"/>
        </w:rPr>
        <w:lastRenderedPageBreak/>
        <w:t xml:space="preserve">2024-2026 годы. В ходе этих переговоров, на основании согласованных положений, можно будет подготовить «проходимый» законопроект </w:t>
      </w:r>
    </w:p>
    <w:p w:rsidR="0015298A" w:rsidRPr="004E1E04" w:rsidRDefault="0015298A" w:rsidP="004F7503">
      <w:pPr>
        <w:spacing w:after="0" w:line="240" w:lineRule="auto"/>
        <w:ind w:firstLine="567"/>
        <w:jc w:val="both"/>
        <w:rPr>
          <w:rStyle w:val="216pt"/>
          <w:rFonts w:eastAsiaTheme="minorHAnsi"/>
          <w:b w:val="0"/>
          <w:color w:val="171717" w:themeColor="background2" w:themeShade="1A"/>
          <w:sz w:val="24"/>
          <w:szCs w:val="24"/>
        </w:rPr>
      </w:pPr>
      <w:r w:rsidRPr="004E1E04">
        <w:rPr>
          <w:rStyle w:val="216pt"/>
          <w:rFonts w:eastAsiaTheme="minorHAnsi"/>
          <w:b w:val="0"/>
          <w:color w:val="171717" w:themeColor="background2" w:themeShade="1A"/>
          <w:sz w:val="24"/>
          <w:szCs w:val="24"/>
        </w:rPr>
        <w:t>Генеральный секретарь Союза профсоюзов России</w:t>
      </w:r>
      <w:r w:rsidR="00CF6206" w:rsidRPr="004E1E04">
        <w:rPr>
          <w:rStyle w:val="216pt"/>
          <w:rFonts w:eastAsiaTheme="minorHAnsi"/>
          <w:b w:val="0"/>
          <w:color w:val="171717" w:themeColor="background2" w:themeShade="1A"/>
          <w:sz w:val="24"/>
          <w:szCs w:val="24"/>
        </w:rPr>
        <w:t xml:space="preserve"> </w:t>
      </w:r>
      <w:r w:rsidRPr="004E1E04">
        <w:rPr>
          <w:rStyle w:val="216pt"/>
          <w:rFonts w:eastAsiaTheme="minorHAnsi"/>
          <w:b w:val="0"/>
          <w:color w:val="171717" w:themeColor="background2" w:themeShade="1A"/>
          <w:sz w:val="24"/>
          <w:szCs w:val="24"/>
        </w:rPr>
        <w:t>Евгений Куликов</w:t>
      </w:r>
    </w:p>
    <w:p w:rsidR="00CF6206" w:rsidRPr="004E1E04" w:rsidRDefault="00CF6206" w:rsidP="004F7503">
      <w:pPr>
        <w:spacing w:after="0" w:line="240" w:lineRule="auto"/>
        <w:ind w:firstLine="567"/>
        <w:jc w:val="both"/>
        <w:rPr>
          <w:b/>
          <w:color w:val="171717" w:themeColor="background2" w:themeShade="1A"/>
          <w:sz w:val="24"/>
          <w:szCs w:val="24"/>
        </w:rPr>
      </w:pPr>
      <w:r w:rsidRPr="004E1E04">
        <w:rPr>
          <w:rStyle w:val="216pt"/>
          <w:rFonts w:eastAsiaTheme="minorHAnsi"/>
          <w:b w:val="0"/>
          <w:color w:val="171717" w:themeColor="background2" w:themeShade="1A"/>
          <w:sz w:val="24"/>
          <w:szCs w:val="24"/>
        </w:rPr>
        <w:t>Председатель Совета Общероссийского профсоюза РПРиУ-СПР Сергей Храмов</w:t>
      </w:r>
    </w:p>
    <w:sectPr w:rsidR="00CF6206" w:rsidRPr="004E1E04" w:rsidSect="009F1277">
      <w:pgSz w:w="11906" w:h="16838"/>
      <w:pgMar w:top="680" w:right="794" w:bottom="680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CA" w:rsidRDefault="00340ACA">
      <w:pPr>
        <w:spacing w:after="0" w:line="240" w:lineRule="auto"/>
      </w:pPr>
      <w:r>
        <w:separator/>
      </w:r>
    </w:p>
  </w:endnote>
  <w:endnote w:type="continuationSeparator" w:id="0">
    <w:p w:rsidR="00340ACA" w:rsidRDefault="0034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CA" w:rsidRDefault="00340ACA">
      <w:pPr>
        <w:spacing w:after="0" w:line="240" w:lineRule="auto"/>
      </w:pPr>
      <w:r>
        <w:separator/>
      </w:r>
    </w:p>
  </w:footnote>
  <w:footnote w:type="continuationSeparator" w:id="0">
    <w:p w:rsidR="00340ACA" w:rsidRDefault="00340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B37"/>
    <w:multiLevelType w:val="hybridMultilevel"/>
    <w:tmpl w:val="CE7CEBAC"/>
    <w:lvl w:ilvl="0" w:tplc="BB820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645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98F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2A48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C25F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10F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266A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A89B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82A1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60D0C"/>
    <w:multiLevelType w:val="hybridMultilevel"/>
    <w:tmpl w:val="86248BEE"/>
    <w:lvl w:ilvl="0" w:tplc="BDE6D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D61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D4F2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EA6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86D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9E5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22FF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549E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DC7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115E4"/>
    <w:multiLevelType w:val="hybridMultilevel"/>
    <w:tmpl w:val="EF8EE2D2"/>
    <w:lvl w:ilvl="0" w:tplc="0EF4E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0608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E64C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8400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ADF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22B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4A56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7234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F46D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C4633"/>
    <w:multiLevelType w:val="hybridMultilevel"/>
    <w:tmpl w:val="887A55A0"/>
    <w:lvl w:ilvl="0" w:tplc="4036A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C4D2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A6BD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3A92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BC96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DE74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F662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A8E3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941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57033"/>
    <w:multiLevelType w:val="hybridMultilevel"/>
    <w:tmpl w:val="475CE350"/>
    <w:lvl w:ilvl="0" w:tplc="FEE67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B4B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06C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F401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FCC5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DC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023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2269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927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04BE4"/>
    <w:multiLevelType w:val="hybridMultilevel"/>
    <w:tmpl w:val="44E80AFA"/>
    <w:lvl w:ilvl="0" w:tplc="89F04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61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48D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7A7F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BE35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EA5E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1A23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3E2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207F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EA"/>
    <w:rsid w:val="00015153"/>
    <w:rsid w:val="0015298A"/>
    <w:rsid w:val="00234DD5"/>
    <w:rsid w:val="00340ACA"/>
    <w:rsid w:val="004005F6"/>
    <w:rsid w:val="004E1E04"/>
    <w:rsid w:val="004F7503"/>
    <w:rsid w:val="00500F90"/>
    <w:rsid w:val="008E1246"/>
    <w:rsid w:val="009031D9"/>
    <w:rsid w:val="009E3C67"/>
    <w:rsid w:val="009F1277"/>
    <w:rsid w:val="00B87516"/>
    <w:rsid w:val="00BB3D4F"/>
    <w:rsid w:val="00C35186"/>
    <w:rsid w:val="00CC588D"/>
    <w:rsid w:val="00CF6206"/>
    <w:rsid w:val="00D6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83CAF-4554-4298-BE37-1E7AA830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"/>
    <w:basedOn w:val="24"/>
    <w:rPr>
      <w:rFonts w:ascii="Times New Roman" w:eastAsia="Times New Roman" w:hAnsi="Times New Roman" w:cs="Times New Roman"/>
      <w:b/>
      <w:bCs/>
      <w:color w:val="000000"/>
      <w:spacing w:val="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300" w:after="588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afc">
    <w:name w:val="Гипертекстовая ссылка"/>
    <w:basedOn w:val="a0"/>
    <w:uiPriority w:val="99"/>
    <w:rsid w:val="004E1E0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2024-07-02T07:46:00Z</dcterms:created>
  <dcterms:modified xsi:type="dcterms:W3CDTF">2024-07-02T07:50:00Z</dcterms:modified>
</cp:coreProperties>
</file>